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22075" w14:textId="77777777" w:rsidR="0082664A" w:rsidRDefault="0082664A" w:rsidP="00182924">
      <w:pPr>
        <w:jc w:val="center"/>
        <w:rPr>
          <w:rFonts w:ascii="Century Gothic" w:eastAsia="Century Gothic" w:hAnsi="Century Gothic" w:cs="Century Gothic"/>
          <w:b/>
          <w:color w:val="000000"/>
          <w:sz w:val="24"/>
          <w:lang w:val="es-CO"/>
        </w:rPr>
      </w:pPr>
      <w:bookmarkStart w:id="0" w:name="_GoBack"/>
      <w:bookmarkEnd w:id="0"/>
    </w:p>
    <w:p w14:paraId="11109BE9" w14:textId="741996F5" w:rsidR="00182924" w:rsidRPr="00182924" w:rsidRDefault="00CA7BFC" w:rsidP="00182924">
      <w:pPr>
        <w:jc w:val="center"/>
        <w:rPr>
          <w:rFonts w:ascii="Century Gothic" w:eastAsia="Century Gothic" w:hAnsi="Century Gothic" w:cs="Century Gothic"/>
          <w:b/>
          <w:color w:val="000000"/>
          <w:sz w:val="24"/>
          <w:lang w:val="es-CO"/>
        </w:rPr>
      </w:pPr>
      <w:r w:rsidRPr="00F7426C">
        <w:rPr>
          <w:rFonts w:ascii="Century Gothic" w:eastAsia="Century Gothic" w:hAnsi="Century Gothic" w:cs="Century Gothic"/>
          <w:b/>
          <w:color w:val="000000"/>
          <w:sz w:val="24"/>
          <w:lang w:val="es-CO"/>
        </w:rPr>
        <w:t xml:space="preserve">TEXTO APROBADO EN PRIMER DEBATE  EN LA COMISIÓN PRIMERA DE LA CÁMARA DE REPRESENTANTES DEL </w:t>
      </w:r>
      <w:r w:rsidR="00EE4E39" w:rsidRPr="00F7426C">
        <w:rPr>
          <w:rFonts w:ascii="Century Gothic" w:eastAsia="Century Gothic" w:hAnsi="Century Gothic" w:cs="Century Gothic"/>
          <w:b/>
          <w:color w:val="000000"/>
          <w:sz w:val="24"/>
        </w:rPr>
        <w:t xml:space="preserve">PROYECTO DE LEY ESTATUTARIA No. </w:t>
      </w:r>
      <w:r w:rsidR="00182924" w:rsidRPr="00182924">
        <w:rPr>
          <w:rFonts w:ascii="Century Gothic" w:eastAsia="Century Gothic" w:hAnsi="Century Gothic" w:cs="Century Gothic"/>
          <w:b/>
          <w:bCs/>
          <w:color w:val="000000"/>
          <w:sz w:val="24"/>
          <w:lang w:val="es-CO"/>
        </w:rPr>
        <w:t>349 DE 2023 CÁMARA – N</w:t>
      </w:r>
      <w:r w:rsidR="0082664A">
        <w:rPr>
          <w:rFonts w:ascii="Century Gothic" w:eastAsia="Century Gothic" w:hAnsi="Century Gothic" w:cs="Century Gothic"/>
          <w:b/>
          <w:bCs/>
          <w:color w:val="000000"/>
          <w:sz w:val="24"/>
          <w:lang w:val="es-CO"/>
        </w:rPr>
        <w:t>o</w:t>
      </w:r>
      <w:r w:rsidR="00182924" w:rsidRPr="00182924">
        <w:rPr>
          <w:rFonts w:ascii="Century Gothic" w:eastAsia="Century Gothic" w:hAnsi="Century Gothic" w:cs="Century Gothic"/>
          <w:b/>
          <w:bCs/>
          <w:color w:val="000000"/>
          <w:sz w:val="24"/>
          <w:lang w:val="es-CO"/>
        </w:rPr>
        <w:t>.093 DE 2022 SENADO “</w:t>
      </w:r>
      <w:r w:rsidR="00182924">
        <w:rPr>
          <w:rFonts w:ascii="Century Gothic" w:eastAsia="Century Gothic" w:hAnsi="Century Gothic" w:cs="Century Gothic"/>
          <w:b/>
          <w:bCs/>
          <w:color w:val="000000"/>
          <w:sz w:val="24"/>
          <w:lang w:val="es-CO"/>
        </w:rPr>
        <w:t>P</w:t>
      </w:r>
      <w:r w:rsidR="00182924" w:rsidRPr="00182924">
        <w:rPr>
          <w:rFonts w:ascii="Century Gothic" w:eastAsia="Century Gothic" w:hAnsi="Century Gothic" w:cs="Century Gothic"/>
          <w:b/>
          <w:bCs/>
          <w:color w:val="000000"/>
          <w:sz w:val="24"/>
          <w:lang w:val="es-CO"/>
        </w:rPr>
        <w:t>or la cual se adoptan medidas para garantizar la participación paritaria de las mujeres en las diferentes ramas y órganos del poder público de conformidad con los artículos 13, 40 y 43 de la constitución política y se dictan otras disposiciones</w:t>
      </w:r>
      <w:r w:rsidR="00D93C41">
        <w:rPr>
          <w:rFonts w:ascii="Century Gothic" w:eastAsia="Century Gothic" w:hAnsi="Century Gothic" w:cs="Century Gothic"/>
          <w:b/>
          <w:bCs/>
          <w:color w:val="000000"/>
          <w:sz w:val="24"/>
          <w:lang w:val="es-CO"/>
        </w:rPr>
        <w:t>”.</w:t>
      </w:r>
    </w:p>
    <w:p w14:paraId="5D25A0C3" w14:textId="77777777" w:rsidR="00997B02" w:rsidRPr="00997B02" w:rsidRDefault="00997B02" w:rsidP="00997B02">
      <w:pPr>
        <w:tabs>
          <w:tab w:val="left" w:pos="589"/>
        </w:tabs>
        <w:jc w:val="center"/>
        <w:rPr>
          <w:rFonts w:ascii="Century Gothic" w:hAnsi="Century Gothic" w:cs="Times New Roman"/>
          <w:b/>
          <w:szCs w:val="20"/>
          <w:lang w:val="es-CO" w:eastAsia="en-US"/>
        </w:rPr>
      </w:pPr>
    </w:p>
    <w:p w14:paraId="0795481D" w14:textId="77777777" w:rsidR="00997B02" w:rsidRP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EL CONGRESO DE COLOMBIA</w:t>
      </w:r>
    </w:p>
    <w:p w14:paraId="04FC29E6" w14:textId="77777777" w:rsidR="00997B02" w:rsidRDefault="00997B02" w:rsidP="00997B02">
      <w:pPr>
        <w:tabs>
          <w:tab w:val="left" w:pos="589"/>
        </w:tabs>
        <w:jc w:val="center"/>
        <w:rPr>
          <w:rFonts w:ascii="Century Gothic" w:hAnsi="Century Gothic" w:cs="Times New Roman"/>
          <w:b/>
          <w:szCs w:val="20"/>
          <w:lang w:val="es-CO" w:eastAsia="en-US"/>
        </w:rPr>
      </w:pPr>
      <w:r w:rsidRPr="00997B02">
        <w:rPr>
          <w:rFonts w:ascii="Century Gothic" w:hAnsi="Century Gothic" w:cs="Times New Roman"/>
          <w:b/>
          <w:szCs w:val="20"/>
          <w:lang w:val="es-CO" w:eastAsia="en-US"/>
        </w:rPr>
        <w:t>DECRETA:</w:t>
      </w:r>
    </w:p>
    <w:p w14:paraId="6865CD96" w14:textId="77777777" w:rsidR="00577529" w:rsidRPr="00997B02" w:rsidRDefault="00577529" w:rsidP="00997B02">
      <w:pPr>
        <w:tabs>
          <w:tab w:val="left" w:pos="589"/>
        </w:tabs>
        <w:jc w:val="center"/>
        <w:rPr>
          <w:rFonts w:ascii="Century Gothic" w:hAnsi="Century Gothic" w:cs="Times New Roman"/>
          <w:b/>
          <w:szCs w:val="20"/>
          <w:lang w:val="es-CO" w:eastAsia="en-US"/>
        </w:rPr>
      </w:pPr>
    </w:p>
    <w:p w14:paraId="7F48B189" w14:textId="77777777" w:rsidR="00182924" w:rsidRPr="00182924" w:rsidRDefault="00182924" w:rsidP="00182924">
      <w:pPr>
        <w:jc w:val="both"/>
        <w:rPr>
          <w:rFonts w:ascii="Century Gothic" w:hAnsi="Century Gothic" w:cs="Times New Roman"/>
          <w:b/>
          <w:szCs w:val="20"/>
          <w:lang w:val="es-CO" w:eastAsia="en-US"/>
        </w:rPr>
      </w:pPr>
      <w:r w:rsidRPr="00182924">
        <w:rPr>
          <w:rFonts w:ascii="Century Gothic" w:hAnsi="Century Gothic" w:cs="Times New Roman"/>
          <w:b/>
          <w:szCs w:val="20"/>
          <w:lang w:val="es-CO" w:eastAsia="en-US"/>
        </w:rPr>
        <w:t xml:space="preserve">ARTÍCULO 1°. Modifíquese el artículo 4° de la Ley 581 de 2000, el cual quedará así: </w:t>
      </w:r>
    </w:p>
    <w:p w14:paraId="22CFC8B0"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Artículo 4º. Participación efectiva de las mujeres. </w:t>
      </w:r>
      <w:r w:rsidRPr="00182924">
        <w:rPr>
          <w:rFonts w:ascii="Century Gothic" w:hAnsi="Century Gothic" w:cs="Times New Roman"/>
          <w:szCs w:val="20"/>
          <w:lang w:val="es-CO" w:eastAsia="en-US"/>
        </w:rPr>
        <w:t xml:space="preserve">La participación adecuada de las mujeres en los niveles del poder público definidos en los artículos 2º y 3º de la presente ley, se hará efectiva aplicando por parte de las autoridades nominadoras las siguientes reglas: </w:t>
      </w:r>
    </w:p>
    <w:p w14:paraId="1852BB6A"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szCs w:val="20"/>
          <w:lang w:val="es-CO" w:eastAsia="en-US"/>
        </w:rPr>
        <w:t xml:space="preserve">a) Mínimo el cincuenta por ciento (50%) de los cargos de máximo nivel decisorio, de que trata el artículo 2., serán desempeñados por mujeres; </w:t>
      </w:r>
    </w:p>
    <w:p w14:paraId="38ECA32E"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szCs w:val="20"/>
          <w:lang w:val="es-CO" w:eastAsia="en-US"/>
        </w:rPr>
        <w:t xml:space="preserve">b) Mínimo el cincuenta por ciento (50%) de los cargos de otros niveles decisorios, de que trata el artículo 3., serán desempeñados por mujeres. </w:t>
      </w:r>
    </w:p>
    <w:p w14:paraId="693CF519"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PARÁGRAFO. </w:t>
      </w:r>
      <w:r w:rsidRPr="00182924">
        <w:rPr>
          <w:rFonts w:ascii="Century Gothic" w:hAnsi="Century Gothic" w:cs="Times New Roman"/>
          <w:szCs w:val="20"/>
          <w:lang w:val="es-CO" w:eastAsia="en-US"/>
        </w:rPr>
        <w:t xml:space="preserve">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6293B4AB" w14:textId="329D3174"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PARÁGRAFO 2. </w:t>
      </w:r>
      <w:r w:rsidRPr="00182924">
        <w:rPr>
          <w:rFonts w:ascii="Century Gothic" w:hAnsi="Century Gothic" w:cs="Times New Roman"/>
          <w:szCs w:val="20"/>
          <w:lang w:val="es-CO" w:eastAsia="en-US"/>
        </w:rPr>
        <w:t xml:space="preserve">El Gobierno Nacional en el plazo de seis meses, contados a partir de la entrada en vigencia de la presente Ley, </w:t>
      </w:r>
      <w:r w:rsidR="00D93C41">
        <w:rPr>
          <w:rFonts w:ascii="Century Gothic" w:hAnsi="Century Gothic" w:cs="Times New Roman"/>
          <w:szCs w:val="20"/>
          <w:lang w:val="es-CO" w:eastAsia="en-US"/>
        </w:rPr>
        <w:t xml:space="preserve">aplicará lo pertinente a </w:t>
      </w:r>
      <w:r w:rsidRPr="00182924">
        <w:rPr>
          <w:rFonts w:ascii="Century Gothic" w:hAnsi="Century Gothic" w:cs="Times New Roman"/>
          <w:szCs w:val="20"/>
          <w:lang w:val="es-CO" w:eastAsia="en-US"/>
        </w:rPr>
        <w:t>los cargos a los cuales les aplicará la presente Ley.</w:t>
      </w:r>
    </w:p>
    <w:p w14:paraId="5786F63C"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PARÁGRAFO 3. </w:t>
      </w:r>
      <w:r w:rsidRPr="00182924">
        <w:rPr>
          <w:rFonts w:ascii="Century Gothic" w:hAnsi="Century Gothic" w:cs="Times New Roman"/>
          <w:szCs w:val="20"/>
          <w:lang w:val="es-CO" w:eastAsia="en-US"/>
        </w:rPr>
        <w:t>En los municipios del país, en donde no existan los cargos de máximo nivel decisorio, se deberá aplicar la regla del mínimo del cincuenta por ciento (50%) de los cargos de otros niveles decisorios que deberán ser desempeñados por mujeres.</w:t>
      </w:r>
    </w:p>
    <w:p w14:paraId="506F3565" w14:textId="0C867D8E" w:rsidR="002B15ED" w:rsidRDefault="002B15ED" w:rsidP="002B15ED">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PARÁGRAFO </w:t>
      </w:r>
      <w:r>
        <w:rPr>
          <w:rFonts w:ascii="Century Gothic" w:hAnsi="Century Gothic" w:cs="Times New Roman"/>
          <w:b/>
          <w:szCs w:val="20"/>
          <w:lang w:val="es-CO" w:eastAsia="en-US"/>
        </w:rPr>
        <w:t>4</w:t>
      </w:r>
      <w:r w:rsidRPr="00182924">
        <w:rPr>
          <w:rFonts w:ascii="Century Gothic" w:hAnsi="Century Gothic" w:cs="Times New Roman"/>
          <w:b/>
          <w:szCs w:val="20"/>
          <w:lang w:val="es-CO" w:eastAsia="en-US"/>
        </w:rPr>
        <w:t>.</w:t>
      </w:r>
      <w:r>
        <w:rPr>
          <w:rFonts w:ascii="Century Gothic" w:hAnsi="Century Gothic" w:cs="Times New Roman"/>
          <w:b/>
          <w:szCs w:val="20"/>
          <w:lang w:val="es-CO" w:eastAsia="en-US"/>
        </w:rPr>
        <w:t xml:space="preserve"> </w:t>
      </w:r>
      <w:r w:rsidRPr="00182924">
        <w:rPr>
          <w:rFonts w:ascii="Century Gothic" w:hAnsi="Century Gothic" w:cs="Times New Roman"/>
          <w:b/>
          <w:szCs w:val="20"/>
          <w:lang w:val="es-CO" w:eastAsia="en-US"/>
        </w:rPr>
        <w:t xml:space="preserve"> </w:t>
      </w:r>
      <w:r w:rsidRPr="00182924">
        <w:rPr>
          <w:rFonts w:ascii="Century Gothic" w:hAnsi="Century Gothic" w:cs="Times New Roman"/>
          <w:szCs w:val="20"/>
          <w:lang w:val="es-CO" w:eastAsia="en-US"/>
        </w:rPr>
        <w:t>E</w:t>
      </w:r>
      <w:r>
        <w:rPr>
          <w:rFonts w:ascii="Century Gothic" w:hAnsi="Century Gothic" w:cs="Times New Roman"/>
          <w:szCs w:val="20"/>
          <w:lang w:val="es-CO" w:eastAsia="en-US"/>
        </w:rPr>
        <w:t xml:space="preserve">l Gobierno nacional, por medio del ministerio de la Igualdad o quien haga sus veces, deberá rendir un informe bianual a las comisiones primeras </w:t>
      </w:r>
      <w:r>
        <w:rPr>
          <w:rFonts w:ascii="Century Gothic" w:hAnsi="Century Gothic" w:cs="Times New Roman"/>
          <w:szCs w:val="20"/>
          <w:lang w:val="es-CO" w:eastAsia="en-US"/>
        </w:rPr>
        <w:lastRenderedPageBreak/>
        <w:t>constitucionales del Congreso de la República donde se presente un balance respecto a la implementación de las medidas para garantizar la participación paritaria de las mujeres en los cargos de máximo nivel decisorio y cargos de otro nivel decisorio en el orden nacional, departamental, municipal, distrital y local.</w:t>
      </w:r>
    </w:p>
    <w:p w14:paraId="1A3F759A" w14:textId="77777777" w:rsidR="00182924" w:rsidRPr="00182924" w:rsidRDefault="00182924" w:rsidP="00182924">
      <w:pPr>
        <w:jc w:val="both"/>
        <w:rPr>
          <w:rFonts w:ascii="Century Gothic" w:hAnsi="Century Gothic" w:cs="Times New Roman"/>
          <w:b/>
          <w:szCs w:val="20"/>
          <w:lang w:val="es-CO" w:eastAsia="en-US"/>
        </w:rPr>
      </w:pPr>
      <w:r w:rsidRPr="00182924">
        <w:rPr>
          <w:rFonts w:ascii="Century Gothic" w:hAnsi="Century Gothic" w:cs="Times New Roman"/>
          <w:b/>
          <w:szCs w:val="20"/>
          <w:lang w:val="es-CO" w:eastAsia="en-US"/>
        </w:rPr>
        <w:t xml:space="preserve">ARTÍCULO 2. </w:t>
      </w:r>
      <w:r w:rsidRPr="00182924">
        <w:rPr>
          <w:rFonts w:ascii="Century Gothic" w:hAnsi="Century Gothic" w:cs="Times New Roman"/>
          <w:szCs w:val="20"/>
          <w:lang w:val="es-CO" w:eastAsia="en-US"/>
        </w:rPr>
        <w:t>Modifíquese el artículo 13º de la Ley 581 de 2000, el cual quedará así:</w:t>
      </w:r>
      <w:r w:rsidRPr="00182924">
        <w:rPr>
          <w:rFonts w:ascii="Century Gothic" w:hAnsi="Century Gothic" w:cs="Times New Roman"/>
          <w:b/>
          <w:szCs w:val="20"/>
          <w:lang w:val="es-CO" w:eastAsia="en-US"/>
        </w:rPr>
        <w:t xml:space="preserve"> </w:t>
      </w:r>
    </w:p>
    <w:p w14:paraId="0F8F432E"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Artículo 13. </w:t>
      </w:r>
      <w:r w:rsidRPr="00182924">
        <w:rPr>
          <w:rFonts w:ascii="Century Gothic" w:hAnsi="Century Gothic" w:cs="Times New Roman"/>
          <w:szCs w:val="20"/>
          <w:lang w:val="es-CO" w:eastAsia="en-US"/>
        </w:rPr>
        <w:t xml:space="preserve">Representación en el exterior. 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0610F1F6"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szCs w:val="20"/>
          <w:lang w:val="es-CO" w:eastAsia="en-US"/>
        </w:rPr>
        <w:t xml:space="preserve">Así mismo, asegurará la participación de mujeres en los cursos y seminarios de capacitación que se ofrezcan en el exterior a los servidores públicos colombianos en las diferentes áreas. </w:t>
      </w:r>
    </w:p>
    <w:p w14:paraId="531F3153" w14:textId="77777777" w:rsidR="00182924" w:rsidRPr="00182924" w:rsidRDefault="00182924" w:rsidP="00182924">
      <w:pPr>
        <w:jc w:val="both"/>
        <w:rPr>
          <w:rFonts w:ascii="Century Gothic" w:hAnsi="Century Gothic" w:cs="Times New Roman"/>
          <w:b/>
          <w:szCs w:val="20"/>
          <w:lang w:val="es-CO" w:eastAsia="en-US"/>
        </w:rPr>
      </w:pPr>
      <w:r w:rsidRPr="00182924">
        <w:rPr>
          <w:rFonts w:ascii="Century Gothic" w:hAnsi="Century Gothic" w:cs="Times New Roman"/>
          <w:b/>
          <w:szCs w:val="20"/>
          <w:lang w:val="es-CO" w:eastAsia="en-US"/>
        </w:rPr>
        <w:t xml:space="preserve">Parágrafo. </w:t>
      </w:r>
      <w:r w:rsidRPr="00182924">
        <w:rPr>
          <w:rFonts w:ascii="Century Gothic" w:hAnsi="Century Gothic" w:cs="Times New Roman"/>
          <w:szCs w:val="20"/>
          <w:lang w:val="es-CO" w:eastAsia="en-US"/>
        </w:rPr>
        <w:t>El incumplimiento de esta disposición será causal de mala conducta.</w:t>
      </w:r>
    </w:p>
    <w:p w14:paraId="6EB41783" w14:textId="77777777" w:rsidR="00182924" w:rsidRPr="00182924" w:rsidRDefault="00182924" w:rsidP="00182924">
      <w:pPr>
        <w:jc w:val="both"/>
        <w:rPr>
          <w:rFonts w:ascii="Century Gothic" w:hAnsi="Century Gothic" w:cs="Times New Roman"/>
          <w:b/>
          <w:szCs w:val="20"/>
          <w:lang w:val="es-CO" w:eastAsia="en-US"/>
        </w:rPr>
      </w:pPr>
    </w:p>
    <w:p w14:paraId="0DF6FF0B"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ARTÍCULO 3. </w:t>
      </w:r>
      <w:r w:rsidRPr="00182924">
        <w:rPr>
          <w:rFonts w:ascii="Century Gothic" w:hAnsi="Century Gothic" w:cs="Times New Roman"/>
          <w:szCs w:val="20"/>
          <w:lang w:val="es-CO" w:eastAsia="en-US"/>
        </w:rPr>
        <w:t xml:space="preserve">Modifíquese el artículo 28º de la Ley 1475 de 2011, el cual quedará así: </w:t>
      </w:r>
    </w:p>
    <w:p w14:paraId="57A3059D" w14:textId="5A922A64"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 xml:space="preserve">Artículo 28. </w:t>
      </w:r>
      <w:r w:rsidRPr="00182924">
        <w:rPr>
          <w:rFonts w:ascii="Century Gothic" w:hAnsi="Century Gothic" w:cs="Times New Roman"/>
          <w:szCs w:val="20"/>
          <w:lang w:val="es-CO" w:eastAsia="en-US"/>
        </w:rPr>
        <w:t>Inscripción de candidatos. Los partidos y movimientos políticos con personería jurídica podrán inscribir candidatos a cargos y corporaciones de elección popular previa verificación del cumplimiento de las calidades y requisitos</w:t>
      </w:r>
      <w:r w:rsidR="00682B72">
        <w:rPr>
          <w:rFonts w:ascii="Century Gothic" w:hAnsi="Century Gothic" w:cs="Times New Roman"/>
          <w:szCs w:val="20"/>
          <w:lang w:val="es-CO" w:eastAsia="en-US"/>
        </w:rPr>
        <w:t xml:space="preserve"> que debe cumplir cada uno de ellos</w:t>
      </w:r>
      <w:r w:rsidRPr="00182924">
        <w:rPr>
          <w:rFonts w:ascii="Century Gothic" w:hAnsi="Century Gothic" w:cs="Times New Roman"/>
          <w:szCs w:val="20"/>
          <w:lang w:val="es-CO" w:eastAsia="en-US"/>
        </w:rPr>
        <w:t>,</w:t>
      </w:r>
      <w:r w:rsidR="00682B72">
        <w:rPr>
          <w:rFonts w:ascii="Century Gothic" w:hAnsi="Century Gothic" w:cs="Times New Roman"/>
          <w:szCs w:val="20"/>
          <w:lang w:val="es-CO" w:eastAsia="en-US"/>
        </w:rPr>
        <w:t xml:space="preserve"> acorde a su regulación interna, </w:t>
      </w:r>
      <w:r w:rsidRPr="00182924">
        <w:rPr>
          <w:rFonts w:ascii="Century Gothic" w:hAnsi="Century Gothic" w:cs="Times New Roman"/>
          <w:szCs w:val="20"/>
          <w:lang w:val="es-CO" w:eastAsia="en-US"/>
        </w:rPr>
        <w:t xml:space="preserve"> así como</w:t>
      </w:r>
      <w:r w:rsidR="00682B72">
        <w:rPr>
          <w:rFonts w:ascii="Century Gothic" w:hAnsi="Century Gothic" w:cs="Times New Roman"/>
          <w:szCs w:val="20"/>
          <w:lang w:val="es-CO" w:eastAsia="en-US"/>
        </w:rPr>
        <w:t xml:space="preserve"> corroborar </w:t>
      </w:r>
      <w:r w:rsidRPr="00182924">
        <w:rPr>
          <w:rFonts w:ascii="Century Gothic" w:hAnsi="Century Gothic" w:cs="Times New Roman"/>
          <w:szCs w:val="20"/>
          <w:lang w:val="es-CO" w:eastAsia="en-US"/>
        </w:rPr>
        <w:t>que no se encuentran incursos en causales de inhabilidad o incompatibilidad.</w:t>
      </w:r>
      <w:r w:rsidR="00682B72">
        <w:rPr>
          <w:rFonts w:ascii="Century Gothic" w:hAnsi="Century Gothic" w:cs="Times New Roman"/>
          <w:szCs w:val="20"/>
          <w:lang w:val="es-CO" w:eastAsia="en-US"/>
        </w:rPr>
        <w:t xml:space="preserve"> </w:t>
      </w:r>
      <w:r w:rsidRPr="00182924">
        <w:rPr>
          <w:rFonts w:ascii="Century Gothic" w:hAnsi="Century Gothic" w:cs="Times New Roman"/>
          <w:szCs w:val="20"/>
          <w:lang w:val="es-CO" w:eastAsia="en-US"/>
        </w:rPr>
        <w:t xml:space="preserve">Dichos candidatos deberán ser escogidos mediante procedimientos democráticos, de conformidad con sus estatutos. Las listas donde se elijan 5 o más curules para corporaciones de elección popular o las que se sometan a consulta - exceptuando su resultado- deberán conformarse por mínimo un 50% de uno de los géneros. </w:t>
      </w:r>
      <w:r w:rsidR="007C1E3B">
        <w:rPr>
          <w:rFonts w:ascii="Century Gothic" w:hAnsi="Century Gothic" w:cs="Times New Roman"/>
          <w:szCs w:val="20"/>
          <w:lang w:val="es-CO" w:eastAsia="en-US"/>
        </w:rPr>
        <w:t xml:space="preserve">En el caso de listas impares, estas serán conformadas atendiendo a una discriminación positiva en favor de la mujer. </w:t>
      </w:r>
    </w:p>
    <w:p w14:paraId="241B2FDA"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szCs w:val="20"/>
          <w:lang w:val="es-CO" w:eastAsia="en-US"/>
        </w:rPr>
        <w:t xml:space="preserve">Los Partidos y Movimientos Políticos con Personería Jurídica podrán inscribir candidatos y listas para toda clase de cargos y corporaciones de elección popular, excepto para la elección de congresistas por las circunscripciones especiales de minorías étnicas. </w:t>
      </w:r>
    </w:p>
    <w:p w14:paraId="4207938A"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szCs w:val="20"/>
          <w:lang w:val="es-CO" w:eastAsia="en-US"/>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w:t>
      </w:r>
      <w:r w:rsidRPr="00182924">
        <w:rPr>
          <w:rFonts w:ascii="Century Gothic" w:hAnsi="Century Gothic" w:cs="Times New Roman"/>
          <w:szCs w:val="20"/>
          <w:lang w:val="es-CO" w:eastAsia="en-US"/>
        </w:rPr>
        <w:lastRenderedPageBreak/>
        <w:t xml:space="preserve">integrantes del Comité, así como el de los candidatos que postulen, deberán figurar en el formulario de recolección de las firmas de apoyo. </w:t>
      </w:r>
    </w:p>
    <w:p w14:paraId="37B3EAB4" w14:textId="77777777" w:rsidR="00182924" w:rsidRPr="00182924" w:rsidRDefault="00182924" w:rsidP="00182924">
      <w:pPr>
        <w:jc w:val="both"/>
        <w:rPr>
          <w:rFonts w:ascii="Century Gothic" w:hAnsi="Century Gothic" w:cs="Times New Roman"/>
          <w:szCs w:val="20"/>
          <w:lang w:val="es-CO" w:eastAsia="en-US"/>
        </w:rPr>
      </w:pPr>
      <w:r w:rsidRPr="00182924">
        <w:rPr>
          <w:rFonts w:ascii="Century Gothic" w:hAnsi="Century Gothic" w:cs="Times New Roman"/>
          <w:szCs w:val="20"/>
          <w:lang w:val="es-CO" w:eastAsia="en-US"/>
        </w:rPr>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p w14:paraId="0C3FBF81" w14:textId="77777777" w:rsidR="00182924" w:rsidRPr="00182924" w:rsidRDefault="00182924" w:rsidP="00182924">
      <w:pPr>
        <w:jc w:val="both"/>
        <w:rPr>
          <w:rFonts w:ascii="Century Gothic" w:hAnsi="Century Gothic" w:cs="Times New Roman"/>
          <w:b/>
          <w:szCs w:val="20"/>
          <w:lang w:val="es-CO" w:eastAsia="en-US"/>
        </w:rPr>
      </w:pPr>
    </w:p>
    <w:p w14:paraId="3174586D" w14:textId="04A26F9D" w:rsidR="00997B02" w:rsidRPr="00997B02" w:rsidRDefault="00182924" w:rsidP="00182924">
      <w:pPr>
        <w:jc w:val="both"/>
        <w:rPr>
          <w:rFonts w:ascii="Century Gothic" w:hAnsi="Century Gothic" w:cs="Times New Roman"/>
          <w:szCs w:val="20"/>
          <w:lang w:val="es-CO" w:eastAsia="en-US"/>
        </w:rPr>
      </w:pPr>
      <w:r w:rsidRPr="00182924">
        <w:rPr>
          <w:rFonts w:ascii="Century Gothic" w:hAnsi="Century Gothic" w:cs="Times New Roman"/>
          <w:b/>
          <w:szCs w:val="20"/>
          <w:lang w:val="es-CO" w:eastAsia="en-US"/>
        </w:rPr>
        <w:t>ARTÍCULO 4. La presente Ley rige a partir de su promulgación.</w:t>
      </w:r>
    </w:p>
    <w:p w14:paraId="3339633A" w14:textId="28FDE00C" w:rsidR="0063590E" w:rsidRPr="000B61F9" w:rsidRDefault="0063590E" w:rsidP="0063590E">
      <w:pPr>
        <w:jc w:val="both"/>
        <w:rPr>
          <w:rFonts w:ascii="Century Gothic" w:eastAsia="Century Gothic" w:hAnsi="Century Gothic" w:cs="Century Gothic"/>
          <w:highlight w:val="white"/>
          <w:lang w:val="es-CO"/>
        </w:rPr>
      </w:pPr>
      <w:r w:rsidRPr="000B61F9">
        <w:rPr>
          <w:rFonts w:ascii="Century Gothic" w:eastAsia="Century Gothic" w:hAnsi="Century Gothic" w:cs="Century Gothic"/>
          <w:highlight w:val="white"/>
          <w:lang w:val="es-CO"/>
        </w:rPr>
        <w:t xml:space="preserve">En los anteriores términos fue aprobado con modificaciones el presente proyecto de Ley </w:t>
      </w:r>
      <w:r w:rsidR="00997B02" w:rsidRPr="000B61F9">
        <w:rPr>
          <w:rFonts w:ascii="Century Gothic" w:eastAsia="Century Gothic" w:hAnsi="Century Gothic" w:cs="Century Gothic"/>
          <w:highlight w:val="white"/>
          <w:lang w:val="es-CO"/>
        </w:rPr>
        <w:t xml:space="preserve">Estatutaria </w:t>
      </w:r>
      <w:r w:rsidRPr="000B61F9">
        <w:rPr>
          <w:rFonts w:ascii="Century Gothic" w:eastAsia="Century Gothic" w:hAnsi="Century Gothic" w:cs="Century Gothic"/>
          <w:highlight w:val="white"/>
          <w:lang w:val="es-CO"/>
        </w:rPr>
        <w:t xml:space="preserve">según consta en el acta </w:t>
      </w:r>
      <w:r w:rsidR="00577529">
        <w:rPr>
          <w:rFonts w:ascii="Century Gothic" w:eastAsia="Century Gothic" w:hAnsi="Century Gothic" w:cs="Century Gothic"/>
          <w:highlight w:val="white"/>
          <w:lang w:val="es-CO"/>
        </w:rPr>
        <w:t>48</w:t>
      </w:r>
      <w:r w:rsidRPr="000B61F9">
        <w:rPr>
          <w:rFonts w:ascii="Century Gothic" w:eastAsia="Century Gothic" w:hAnsi="Century Gothic" w:cs="Century Gothic"/>
          <w:highlight w:val="white"/>
          <w:lang w:val="es-CO"/>
        </w:rPr>
        <w:t xml:space="preserve"> de sesión del </w:t>
      </w:r>
      <w:r w:rsidR="00577529">
        <w:rPr>
          <w:rFonts w:ascii="Century Gothic" w:eastAsia="Century Gothic" w:hAnsi="Century Gothic" w:cs="Century Gothic"/>
          <w:highlight w:val="white"/>
          <w:lang w:val="es-CO"/>
        </w:rPr>
        <w:t>10</w:t>
      </w:r>
      <w:r w:rsidRPr="000B61F9">
        <w:rPr>
          <w:rFonts w:ascii="Century Gothic" w:eastAsia="Century Gothic" w:hAnsi="Century Gothic" w:cs="Century Gothic"/>
          <w:highlight w:val="white"/>
          <w:lang w:val="es-CO"/>
        </w:rPr>
        <w:t xml:space="preserve"> de </w:t>
      </w:r>
      <w:r w:rsidR="00577529">
        <w:rPr>
          <w:rFonts w:ascii="Century Gothic" w:eastAsia="Century Gothic" w:hAnsi="Century Gothic" w:cs="Century Gothic"/>
          <w:highlight w:val="white"/>
          <w:lang w:val="es-CO"/>
        </w:rPr>
        <w:t>mayo</w:t>
      </w:r>
      <w:r w:rsidR="00997B02" w:rsidRPr="000B61F9">
        <w:rPr>
          <w:rFonts w:ascii="Century Gothic" w:eastAsia="Century Gothic" w:hAnsi="Century Gothic" w:cs="Century Gothic"/>
          <w:highlight w:val="white"/>
          <w:lang w:val="es-CO"/>
        </w:rPr>
        <w:t xml:space="preserve"> </w:t>
      </w:r>
      <w:r w:rsidRPr="000B61F9">
        <w:rPr>
          <w:rFonts w:ascii="Century Gothic" w:eastAsia="Century Gothic" w:hAnsi="Century Gothic" w:cs="Century Gothic"/>
          <w:highlight w:val="white"/>
          <w:lang w:val="es-CO"/>
        </w:rPr>
        <w:t>de 202</w:t>
      </w:r>
      <w:r w:rsidR="00997B02" w:rsidRPr="000B61F9">
        <w:rPr>
          <w:rFonts w:ascii="Century Gothic" w:eastAsia="Century Gothic" w:hAnsi="Century Gothic" w:cs="Century Gothic"/>
          <w:highlight w:val="white"/>
          <w:lang w:val="es-CO"/>
        </w:rPr>
        <w:t>3</w:t>
      </w:r>
      <w:r w:rsidRPr="000B61F9">
        <w:rPr>
          <w:rFonts w:ascii="Century Gothic" w:eastAsia="Century Gothic" w:hAnsi="Century Gothic" w:cs="Century Gothic"/>
          <w:highlight w:val="white"/>
          <w:lang w:val="es-CO"/>
        </w:rPr>
        <w:t>; así mismo fue anunc</w:t>
      </w:r>
      <w:r w:rsidR="009214AB" w:rsidRPr="000B61F9">
        <w:rPr>
          <w:rFonts w:ascii="Century Gothic" w:eastAsia="Century Gothic" w:hAnsi="Century Gothic" w:cs="Century Gothic"/>
          <w:highlight w:val="white"/>
          <w:lang w:val="es-CO"/>
        </w:rPr>
        <w:t>iado entre otras fechas el día</w:t>
      </w:r>
      <w:r w:rsidR="00F23E48">
        <w:rPr>
          <w:rFonts w:ascii="Century Gothic" w:eastAsia="Century Gothic" w:hAnsi="Century Gothic" w:cs="Century Gothic"/>
          <w:highlight w:val="white"/>
          <w:lang w:val="es-CO"/>
        </w:rPr>
        <w:t xml:space="preserve"> 09 de mayo</w:t>
      </w:r>
      <w:r w:rsidR="00577529">
        <w:rPr>
          <w:rFonts w:ascii="Century Gothic" w:eastAsia="Century Gothic" w:hAnsi="Century Gothic" w:cs="Century Gothic"/>
          <w:highlight w:val="white"/>
          <w:lang w:val="es-CO"/>
        </w:rPr>
        <w:t xml:space="preserve"> de </w:t>
      </w:r>
      <w:r w:rsidRPr="000B61F9">
        <w:rPr>
          <w:rFonts w:ascii="Century Gothic" w:eastAsia="Century Gothic" w:hAnsi="Century Gothic" w:cs="Century Gothic"/>
          <w:highlight w:val="white"/>
          <w:lang w:val="es-CO"/>
        </w:rPr>
        <w:t>202</w:t>
      </w:r>
      <w:r w:rsidR="00997B02" w:rsidRPr="000B61F9">
        <w:rPr>
          <w:rFonts w:ascii="Century Gothic" w:eastAsia="Century Gothic" w:hAnsi="Century Gothic" w:cs="Century Gothic"/>
          <w:highlight w:val="white"/>
          <w:lang w:val="es-CO"/>
        </w:rPr>
        <w:t>3</w:t>
      </w:r>
      <w:r w:rsidRPr="000B61F9">
        <w:rPr>
          <w:rFonts w:ascii="Century Gothic" w:eastAsia="Century Gothic" w:hAnsi="Century Gothic" w:cs="Century Gothic"/>
          <w:highlight w:val="white"/>
          <w:lang w:val="es-CO"/>
        </w:rPr>
        <w:t xml:space="preserve">, según consta en el acta </w:t>
      </w:r>
      <w:r w:rsidR="00577529">
        <w:rPr>
          <w:rFonts w:ascii="Century Gothic" w:eastAsia="Century Gothic" w:hAnsi="Century Gothic" w:cs="Century Gothic"/>
          <w:highlight w:val="white"/>
          <w:lang w:val="es-CO"/>
        </w:rPr>
        <w:t>47</w:t>
      </w:r>
      <w:r w:rsidRPr="000B61F9">
        <w:rPr>
          <w:rFonts w:ascii="Century Gothic" w:eastAsia="Century Gothic" w:hAnsi="Century Gothic" w:cs="Century Gothic"/>
          <w:highlight w:val="white"/>
          <w:lang w:val="es-CO"/>
        </w:rPr>
        <w:t xml:space="preserve"> de sesión de esa misma fecha.</w:t>
      </w:r>
    </w:p>
    <w:p w14:paraId="0968E710" w14:textId="77777777" w:rsidR="0073136B" w:rsidRPr="00F7426C" w:rsidRDefault="0073136B" w:rsidP="00961568">
      <w:pPr>
        <w:tabs>
          <w:tab w:val="left" w:pos="4820"/>
        </w:tabs>
        <w:jc w:val="center"/>
        <w:rPr>
          <w:rFonts w:ascii="Century Gothic" w:eastAsia="Century Gothic" w:hAnsi="Century Gothic" w:cs="Century Gothic"/>
          <w:sz w:val="24"/>
          <w:highlight w:val="white"/>
          <w:lang w:val="es-CO"/>
        </w:rPr>
      </w:pPr>
    </w:p>
    <w:p w14:paraId="3A4A522C" w14:textId="77777777" w:rsidR="00AD51EA" w:rsidRPr="00F7426C" w:rsidRDefault="00AD51EA" w:rsidP="00961568">
      <w:pPr>
        <w:tabs>
          <w:tab w:val="left" w:pos="4820"/>
        </w:tabs>
        <w:jc w:val="center"/>
        <w:rPr>
          <w:rFonts w:ascii="Century Gothic" w:eastAsia="Century Gothic" w:hAnsi="Century Gothic" w:cs="Century Gothic"/>
          <w:sz w:val="24"/>
          <w:highlight w:val="white"/>
          <w:lang w:val="es-CO"/>
        </w:rPr>
      </w:pPr>
    </w:p>
    <w:p w14:paraId="1874FCCC" w14:textId="77777777" w:rsidR="0073136B" w:rsidRDefault="0073136B" w:rsidP="00AD51EA">
      <w:pPr>
        <w:tabs>
          <w:tab w:val="left" w:pos="4820"/>
        </w:tabs>
        <w:spacing w:after="0" w:line="240" w:lineRule="auto"/>
        <w:rPr>
          <w:rFonts w:ascii="Century Gothic" w:eastAsia="Century Gothic" w:hAnsi="Century Gothic" w:cs="Century Gothic"/>
          <w:sz w:val="24"/>
          <w:highlight w:val="white"/>
          <w:lang w:val="es-CO"/>
        </w:rPr>
      </w:pPr>
    </w:p>
    <w:p w14:paraId="4ADC7E42" w14:textId="77777777" w:rsidR="00F7426C" w:rsidRPr="00F7426C" w:rsidRDefault="00F7426C" w:rsidP="00AD51EA">
      <w:pPr>
        <w:tabs>
          <w:tab w:val="left" w:pos="4820"/>
        </w:tabs>
        <w:spacing w:after="0" w:line="240" w:lineRule="auto"/>
        <w:rPr>
          <w:rFonts w:ascii="Century Gothic" w:eastAsia="Century Gothic" w:hAnsi="Century Gothic" w:cs="Century Gothic"/>
          <w:sz w:val="24"/>
          <w:highlight w:val="white"/>
          <w:lang w:val="es-CO"/>
        </w:rPr>
      </w:pPr>
    </w:p>
    <w:p w14:paraId="5C20DB22" w14:textId="776B9423" w:rsidR="00961568" w:rsidRPr="00F7426C" w:rsidRDefault="006F017F" w:rsidP="00AD51EA">
      <w:pPr>
        <w:tabs>
          <w:tab w:val="left" w:pos="4820"/>
        </w:tabs>
        <w:spacing w:after="0" w:line="240" w:lineRule="auto"/>
        <w:rPr>
          <w:rFonts w:ascii="Century Gothic" w:eastAsia="Century Gothic" w:hAnsi="Century Gothic" w:cs="Century Gothic"/>
          <w:sz w:val="20"/>
          <w:highlight w:val="white"/>
          <w:lang w:val="es-CO"/>
        </w:rPr>
      </w:pPr>
      <w:r w:rsidRPr="006F017F">
        <w:rPr>
          <w:rFonts w:ascii="Century Gothic" w:eastAsia="Century Gothic" w:hAnsi="Century Gothic" w:cs="Century Gothic"/>
          <w:b/>
          <w:sz w:val="20"/>
        </w:rPr>
        <w:t>CATHERINE JUVINAO CLAVIJO</w:t>
      </w:r>
      <w:r w:rsidR="00961568" w:rsidRPr="00F7426C">
        <w:rPr>
          <w:rFonts w:ascii="Century Gothic" w:eastAsia="Century Gothic" w:hAnsi="Century Gothic" w:cs="Century Gothic"/>
          <w:sz w:val="20"/>
          <w:highlight w:val="white"/>
          <w:lang w:val="es-CO"/>
        </w:rPr>
        <w:tab/>
      </w:r>
      <w:r w:rsidRPr="006F017F">
        <w:rPr>
          <w:rFonts w:ascii="Century Gothic" w:eastAsia="Century Gothic" w:hAnsi="Century Gothic" w:cs="Century Gothic"/>
          <w:b/>
          <w:sz w:val="20"/>
          <w:highlight w:val="white"/>
        </w:rPr>
        <w:t xml:space="preserve">JUAN CARLOS WILLS OSPINA  </w:t>
      </w:r>
    </w:p>
    <w:p w14:paraId="07E48B50" w14:textId="56654503" w:rsidR="00F7426C" w:rsidRPr="00F7426C" w:rsidRDefault="00961568" w:rsidP="006F017F">
      <w:pPr>
        <w:tabs>
          <w:tab w:val="left" w:pos="4820"/>
        </w:tabs>
        <w:spacing w:after="0" w:line="240" w:lineRule="auto"/>
        <w:rPr>
          <w:rFonts w:ascii="Century Gothic" w:eastAsia="Century Gothic" w:hAnsi="Century Gothic" w:cs="Century Gothic"/>
          <w:sz w:val="20"/>
          <w:highlight w:val="white"/>
          <w:lang w:val="es-CO"/>
        </w:rPr>
      </w:pPr>
      <w:r w:rsidRPr="00F7426C">
        <w:rPr>
          <w:rFonts w:ascii="Century Gothic" w:eastAsia="Century Gothic" w:hAnsi="Century Gothic" w:cs="Century Gothic"/>
          <w:sz w:val="20"/>
          <w:highlight w:val="white"/>
          <w:lang w:val="es-CO"/>
        </w:rPr>
        <w:t xml:space="preserve">Ponente </w:t>
      </w:r>
      <w:r w:rsidR="006F017F">
        <w:rPr>
          <w:rFonts w:ascii="Century Gothic" w:eastAsia="Century Gothic" w:hAnsi="Century Gothic" w:cs="Century Gothic"/>
          <w:sz w:val="20"/>
          <w:highlight w:val="white"/>
          <w:lang w:val="es-CO"/>
        </w:rPr>
        <w:t>Única</w:t>
      </w:r>
      <w:r w:rsidRPr="00F7426C">
        <w:rPr>
          <w:rFonts w:ascii="Century Gothic" w:eastAsia="Century Gothic" w:hAnsi="Century Gothic" w:cs="Century Gothic"/>
          <w:sz w:val="20"/>
          <w:highlight w:val="white"/>
          <w:lang w:val="es-CO"/>
        </w:rPr>
        <w:tab/>
      </w:r>
      <w:r w:rsidR="006F017F" w:rsidRPr="006F017F">
        <w:rPr>
          <w:rFonts w:ascii="Century Gothic" w:eastAsia="Century Gothic" w:hAnsi="Century Gothic" w:cs="Century Gothic"/>
          <w:sz w:val="20"/>
          <w:highlight w:val="white"/>
          <w:lang w:val="es-CO"/>
        </w:rPr>
        <w:t>Presidente</w:t>
      </w:r>
    </w:p>
    <w:p w14:paraId="3A6BC43A" w14:textId="77777777" w:rsidR="00AD51EA" w:rsidRDefault="00AD51EA" w:rsidP="00AD51EA">
      <w:pPr>
        <w:tabs>
          <w:tab w:val="left" w:pos="4820"/>
        </w:tabs>
        <w:rPr>
          <w:rFonts w:ascii="Century Gothic" w:eastAsia="Century Gothic" w:hAnsi="Century Gothic" w:cs="Century Gothic"/>
          <w:sz w:val="20"/>
          <w:highlight w:val="white"/>
          <w:lang w:val="es-CO"/>
        </w:rPr>
      </w:pPr>
    </w:p>
    <w:p w14:paraId="009B38C7" w14:textId="77777777" w:rsidR="006F017F" w:rsidRDefault="006F017F" w:rsidP="00AD51EA">
      <w:pPr>
        <w:tabs>
          <w:tab w:val="left" w:pos="4820"/>
        </w:tabs>
        <w:rPr>
          <w:rFonts w:ascii="Century Gothic" w:eastAsia="Century Gothic" w:hAnsi="Century Gothic" w:cs="Century Gothic"/>
          <w:sz w:val="20"/>
          <w:highlight w:val="white"/>
          <w:lang w:val="es-CO"/>
        </w:rPr>
      </w:pPr>
    </w:p>
    <w:p w14:paraId="5DDDE33D" w14:textId="77777777" w:rsidR="006F017F" w:rsidRPr="00F7426C" w:rsidRDefault="006F017F" w:rsidP="006F017F">
      <w:pPr>
        <w:tabs>
          <w:tab w:val="left" w:pos="4820"/>
        </w:tabs>
        <w:jc w:val="center"/>
        <w:rPr>
          <w:rFonts w:ascii="Century Gothic" w:eastAsia="Century Gothic" w:hAnsi="Century Gothic" w:cs="Century Gothic"/>
          <w:sz w:val="20"/>
          <w:highlight w:val="white"/>
          <w:lang w:val="es-CO"/>
        </w:rPr>
      </w:pPr>
    </w:p>
    <w:p w14:paraId="2451FF04" w14:textId="77777777" w:rsidR="006F017F" w:rsidRDefault="00AD51EA" w:rsidP="006F017F">
      <w:pPr>
        <w:tabs>
          <w:tab w:val="left" w:pos="4820"/>
        </w:tabs>
        <w:jc w:val="center"/>
        <w:rPr>
          <w:rFonts w:ascii="Century Gothic" w:eastAsia="Century Gothic" w:hAnsi="Century Gothic" w:cs="Century Gothic"/>
          <w:sz w:val="20"/>
          <w:highlight w:val="white"/>
          <w:lang w:val="es-CO"/>
        </w:rPr>
      </w:pPr>
      <w:r w:rsidRPr="00F7426C">
        <w:rPr>
          <w:rFonts w:ascii="Century Gothic" w:eastAsia="Century Gothic" w:hAnsi="Century Gothic" w:cs="Century Gothic"/>
          <w:b/>
          <w:sz w:val="20"/>
          <w:highlight w:val="white"/>
          <w:lang w:val="es-CO"/>
        </w:rPr>
        <w:t>AMPARO YANETH CALDERON PERDOMO</w:t>
      </w:r>
    </w:p>
    <w:p w14:paraId="23AACEEE" w14:textId="78B0F46C" w:rsidR="004752D7" w:rsidRPr="00F7426C" w:rsidRDefault="004752D7" w:rsidP="006F017F">
      <w:pPr>
        <w:tabs>
          <w:tab w:val="left" w:pos="4820"/>
        </w:tabs>
        <w:jc w:val="center"/>
        <w:rPr>
          <w:rFonts w:ascii="Century Gothic" w:eastAsia="Century Gothic" w:hAnsi="Century Gothic" w:cs="Century Gothic"/>
          <w:sz w:val="20"/>
          <w:highlight w:val="white"/>
          <w:lang w:val="es-CO"/>
        </w:rPr>
      </w:pPr>
      <w:r w:rsidRPr="00F7426C">
        <w:rPr>
          <w:rFonts w:ascii="Century Gothic" w:eastAsia="Century Gothic" w:hAnsi="Century Gothic" w:cs="Century Gothic"/>
          <w:sz w:val="20"/>
          <w:highlight w:val="white"/>
          <w:lang w:val="es-CO"/>
        </w:rPr>
        <w:t>Secretaria</w:t>
      </w:r>
    </w:p>
    <w:p w14:paraId="60946FD0" w14:textId="77777777" w:rsidR="00BC3E4B" w:rsidRPr="00F7426C" w:rsidRDefault="00BC3E4B">
      <w:pPr>
        <w:jc w:val="both"/>
        <w:rPr>
          <w:rFonts w:ascii="Century Gothic" w:eastAsia="Century Gothic" w:hAnsi="Century Gothic" w:cs="Century Gothic"/>
          <w:sz w:val="24"/>
          <w:highlight w:val="white"/>
        </w:rPr>
      </w:pPr>
    </w:p>
    <w:p w14:paraId="703C75BA" w14:textId="77777777" w:rsidR="00F7426C" w:rsidRPr="00F7426C" w:rsidRDefault="00F7426C">
      <w:pPr>
        <w:jc w:val="both"/>
        <w:rPr>
          <w:rFonts w:ascii="Century Gothic" w:eastAsia="Century Gothic" w:hAnsi="Century Gothic" w:cs="Century Gothic"/>
          <w:sz w:val="24"/>
        </w:rPr>
      </w:pPr>
    </w:p>
    <w:sectPr w:rsidR="00F7426C" w:rsidRPr="00F7426C"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7CE42" w14:textId="77777777" w:rsidR="000F3156" w:rsidRDefault="000F3156">
      <w:pPr>
        <w:spacing w:after="0" w:line="240" w:lineRule="auto"/>
      </w:pPr>
      <w:r>
        <w:separator/>
      </w:r>
    </w:p>
  </w:endnote>
  <w:endnote w:type="continuationSeparator" w:id="0">
    <w:p w14:paraId="436C4B51" w14:textId="77777777" w:rsidR="000F3156" w:rsidRDefault="000F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ds"/>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70197"/>
      <w:docPartObj>
        <w:docPartGallery w:val="Page Numbers (Bottom of Page)"/>
        <w:docPartUnique/>
      </w:docPartObj>
    </w:sdtPr>
    <w:sdtEndPr/>
    <w:sdtContent>
      <w:p w14:paraId="3F0CD820" w14:textId="77777777" w:rsidR="00CA7BFC" w:rsidRDefault="00CA7BFC">
        <w:pPr>
          <w:pStyle w:val="Piedepgina"/>
          <w:jc w:val="right"/>
        </w:pPr>
      </w:p>
      <w:p w14:paraId="57CB2DF0" w14:textId="77777777" w:rsidR="00CA7BFC" w:rsidRPr="00F31B05" w:rsidRDefault="00CA7BFC" w:rsidP="00CA7BFC">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14:paraId="28AE3292" w14:textId="77777777" w:rsidR="00CA7BFC" w:rsidRPr="00CA7BFC" w:rsidRDefault="00CA7BFC" w:rsidP="00CA7BFC">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14:paraId="43D26565" w14:textId="267F0EE1" w:rsidR="00CA7BFC" w:rsidRDefault="00CA7BFC" w:rsidP="00CA7BFC">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eastAsia="en-US"/>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23896" w14:textId="77777777" w:rsidR="000F3156" w:rsidRDefault="000F3156">
      <w:pPr>
        <w:spacing w:after="0" w:line="240" w:lineRule="auto"/>
      </w:pPr>
      <w:r>
        <w:separator/>
      </w:r>
    </w:p>
  </w:footnote>
  <w:footnote w:type="continuationSeparator" w:id="0">
    <w:p w14:paraId="51E8180E" w14:textId="77777777" w:rsidR="000F3156" w:rsidRDefault="000F3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4">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5">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7">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8">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13">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4">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16">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7">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2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1">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23">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24">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25">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6">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7">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num w:numId="1">
    <w:abstractNumId w:val="23"/>
  </w:num>
  <w:num w:numId="2">
    <w:abstractNumId w:val="19"/>
  </w:num>
  <w:num w:numId="3">
    <w:abstractNumId w:val="25"/>
  </w:num>
  <w:num w:numId="4">
    <w:abstractNumId w:val="26"/>
  </w:num>
  <w:num w:numId="5">
    <w:abstractNumId w:val="5"/>
  </w:num>
  <w:num w:numId="6">
    <w:abstractNumId w:val="2"/>
  </w:num>
  <w:num w:numId="7">
    <w:abstractNumId w:val="10"/>
  </w:num>
  <w:num w:numId="8">
    <w:abstractNumId w:val="21"/>
  </w:num>
  <w:num w:numId="9">
    <w:abstractNumId w:val="3"/>
  </w:num>
  <w:num w:numId="10">
    <w:abstractNumId w:val="17"/>
  </w:num>
  <w:num w:numId="11">
    <w:abstractNumId w:val="13"/>
  </w:num>
  <w:num w:numId="12">
    <w:abstractNumId w:val="22"/>
  </w:num>
  <w:num w:numId="13">
    <w:abstractNumId w:val="4"/>
  </w:num>
  <w:num w:numId="14">
    <w:abstractNumId w:val="1"/>
  </w:num>
  <w:num w:numId="15">
    <w:abstractNumId w:val="9"/>
  </w:num>
  <w:num w:numId="16">
    <w:abstractNumId w:val="0"/>
  </w:num>
  <w:num w:numId="17">
    <w:abstractNumId w:val="16"/>
  </w:num>
  <w:num w:numId="18">
    <w:abstractNumId w:val="6"/>
  </w:num>
  <w:num w:numId="19">
    <w:abstractNumId w:val="15"/>
  </w:num>
  <w:num w:numId="20">
    <w:abstractNumId w:val="28"/>
  </w:num>
  <w:num w:numId="21">
    <w:abstractNumId w:val="27"/>
  </w:num>
  <w:num w:numId="22">
    <w:abstractNumId w:val="7"/>
  </w:num>
  <w:num w:numId="23">
    <w:abstractNumId w:val="18"/>
  </w:num>
  <w:num w:numId="24">
    <w:abstractNumId w:val="20"/>
  </w:num>
  <w:num w:numId="25">
    <w:abstractNumId w:val="11"/>
  </w:num>
  <w:num w:numId="26">
    <w:abstractNumId w:val="12"/>
  </w:num>
  <w:num w:numId="27">
    <w:abstractNumId w:val="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6C04"/>
    <w:rsid w:val="000B61F9"/>
    <w:rsid w:val="000D7330"/>
    <w:rsid w:val="000F29C4"/>
    <w:rsid w:val="000F3156"/>
    <w:rsid w:val="00116A80"/>
    <w:rsid w:val="00141E9A"/>
    <w:rsid w:val="00182924"/>
    <w:rsid w:val="001E295C"/>
    <w:rsid w:val="00246D97"/>
    <w:rsid w:val="00247B5E"/>
    <w:rsid w:val="002A050B"/>
    <w:rsid w:val="002B15AE"/>
    <w:rsid w:val="002B15ED"/>
    <w:rsid w:val="00340EFF"/>
    <w:rsid w:val="003510CB"/>
    <w:rsid w:val="003941C4"/>
    <w:rsid w:val="003A213A"/>
    <w:rsid w:val="003B2913"/>
    <w:rsid w:val="003D06EC"/>
    <w:rsid w:val="004158CF"/>
    <w:rsid w:val="004752D7"/>
    <w:rsid w:val="00491DCE"/>
    <w:rsid w:val="0049278A"/>
    <w:rsid w:val="004D4CEF"/>
    <w:rsid w:val="00525502"/>
    <w:rsid w:val="005378E9"/>
    <w:rsid w:val="00552946"/>
    <w:rsid w:val="00577529"/>
    <w:rsid w:val="005818F7"/>
    <w:rsid w:val="005B0F1A"/>
    <w:rsid w:val="00600635"/>
    <w:rsid w:val="006013AA"/>
    <w:rsid w:val="0063590E"/>
    <w:rsid w:val="00642606"/>
    <w:rsid w:val="006667B4"/>
    <w:rsid w:val="00682B72"/>
    <w:rsid w:val="006942BD"/>
    <w:rsid w:val="006A2B87"/>
    <w:rsid w:val="006B1F0F"/>
    <w:rsid w:val="006C6EE4"/>
    <w:rsid w:val="006D3CF8"/>
    <w:rsid w:val="006F017F"/>
    <w:rsid w:val="00702517"/>
    <w:rsid w:val="007167FA"/>
    <w:rsid w:val="0073136B"/>
    <w:rsid w:val="00762755"/>
    <w:rsid w:val="00771A2E"/>
    <w:rsid w:val="00781CF3"/>
    <w:rsid w:val="0079778B"/>
    <w:rsid w:val="007B07DC"/>
    <w:rsid w:val="007C0DA2"/>
    <w:rsid w:val="007C1E3B"/>
    <w:rsid w:val="007D6DC1"/>
    <w:rsid w:val="007F4BEC"/>
    <w:rsid w:val="008201B7"/>
    <w:rsid w:val="0082664A"/>
    <w:rsid w:val="00827135"/>
    <w:rsid w:val="009214AB"/>
    <w:rsid w:val="00961568"/>
    <w:rsid w:val="00986D25"/>
    <w:rsid w:val="00997B02"/>
    <w:rsid w:val="009B5108"/>
    <w:rsid w:val="009B75CE"/>
    <w:rsid w:val="009C5CF0"/>
    <w:rsid w:val="009D59D9"/>
    <w:rsid w:val="009E18F1"/>
    <w:rsid w:val="009F76A0"/>
    <w:rsid w:val="00AA1473"/>
    <w:rsid w:val="00AB2204"/>
    <w:rsid w:val="00AD51EA"/>
    <w:rsid w:val="00AE0BE1"/>
    <w:rsid w:val="00B136BA"/>
    <w:rsid w:val="00B46DCE"/>
    <w:rsid w:val="00B63F91"/>
    <w:rsid w:val="00BB2372"/>
    <w:rsid w:val="00BC211F"/>
    <w:rsid w:val="00BC3E4B"/>
    <w:rsid w:val="00C1217F"/>
    <w:rsid w:val="00C834D2"/>
    <w:rsid w:val="00C94F86"/>
    <w:rsid w:val="00C95BD6"/>
    <w:rsid w:val="00CA0370"/>
    <w:rsid w:val="00CA7BFC"/>
    <w:rsid w:val="00CD211C"/>
    <w:rsid w:val="00CE7E1D"/>
    <w:rsid w:val="00CF7E32"/>
    <w:rsid w:val="00D50E99"/>
    <w:rsid w:val="00D52439"/>
    <w:rsid w:val="00D549E9"/>
    <w:rsid w:val="00D847AE"/>
    <w:rsid w:val="00D93C41"/>
    <w:rsid w:val="00D93DEC"/>
    <w:rsid w:val="00DA0898"/>
    <w:rsid w:val="00DC7280"/>
    <w:rsid w:val="00DD4878"/>
    <w:rsid w:val="00E47170"/>
    <w:rsid w:val="00E60B54"/>
    <w:rsid w:val="00E65366"/>
    <w:rsid w:val="00E72067"/>
    <w:rsid w:val="00E9110D"/>
    <w:rsid w:val="00EB54BA"/>
    <w:rsid w:val="00EE14AC"/>
    <w:rsid w:val="00EE4E39"/>
    <w:rsid w:val="00EF5F67"/>
    <w:rsid w:val="00F10F67"/>
    <w:rsid w:val="00F23E48"/>
    <w:rsid w:val="00F26CCF"/>
    <w:rsid w:val="00F31B05"/>
    <w:rsid w:val="00F374D0"/>
    <w:rsid w:val="00F458BD"/>
    <w:rsid w:val="00F55507"/>
    <w:rsid w:val="00F7426C"/>
    <w:rsid w:val="00F839BE"/>
    <w:rsid w:val="00F9749D"/>
    <w:rsid w:val="00FA34E5"/>
    <w:rsid w:val="00FA7962"/>
    <w:rsid w:val="00FB67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99"/>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99"/>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4CA37A-B207-46DB-94AF-B0931449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2</cp:revision>
  <cp:lastPrinted>2023-04-20T17:19:00Z</cp:lastPrinted>
  <dcterms:created xsi:type="dcterms:W3CDTF">2023-05-15T20:40:00Z</dcterms:created>
  <dcterms:modified xsi:type="dcterms:W3CDTF">2023-05-15T20:40:00Z</dcterms:modified>
</cp:coreProperties>
</file>